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09B" w:rsidRDefault="007B6C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BE0D6" wp14:editId="753D3B2B">
                <wp:simplePos x="0" y="0"/>
                <wp:positionH relativeFrom="column">
                  <wp:posOffset>2710815</wp:posOffset>
                </wp:positionH>
                <wp:positionV relativeFrom="paragraph">
                  <wp:posOffset>-953135</wp:posOffset>
                </wp:positionV>
                <wp:extent cx="3571875" cy="1085850"/>
                <wp:effectExtent l="0" t="0" r="9525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075F" w:rsidRPr="007B6C13" w:rsidRDefault="00CA075F" w:rsidP="007B6C13">
                            <w:pPr>
                              <w:spacing w:after="0" w:line="360" w:lineRule="auto"/>
                              <w:jc w:val="right"/>
                              <w:rPr>
                                <w:rFonts w:ascii="Arial Narrow" w:hAnsi="Arial Narrow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7B6C13">
                              <w:rPr>
                                <w:rFonts w:ascii="Arial Narrow" w:hAnsi="Arial Narrow"/>
                                <w:color w:val="002060"/>
                                <w:sz w:val="26"/>
                                <w:szCs w:val="26"/>
                              </w:rPr>
                              <w:t>Comissão da Indústria Imobiliária</w:t>
                            </w:r>
                          </w:p>
                          <w:p w:rsidR="00CA075F" w:rsidRDefault="00CA075F" w:rsidP="007B6C13">
                            <w:pPr>
                              <w:spacing w:after="0" w:line="360" w:lineRule="auto"/>
                              <w:jc w:val="right"/>
                              <w:rPr>
                                <w:rFonts w:ascii="Arial Narrow" w:hAnsi="Arial Narrow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C3056">
                              <w:rPr>
                                <w:rFonts w:ascii="Arial Narrow" w:hAnsi="Arial Narrow"/>
                                <w:color w:val="002060"/>
                                <w:sz w:val="26"/>
                                <w:szCs w:val="26"/>
                              </w:rPr>
                              <w:t>Outubro/2019</w:t>
                            </w:r>
                          </w:p>
                          <w:p w:rsidR="00CA075F" w:rsidRPr="00FC3056" w:rsidRDefault="00CA075F" w:rsidP="00EC37DF">
                            <w:pPr>
                              <w:jc w:val="right"/>
                              <w:rPr>
                                <w:rFonts w:ascii="Arial Narrow" w:hAnsi="Arial Narrow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213.45pt;margin-top:-75.05pt;width:281.2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" fillcolor="window" stroked="f" strokeweight=".5pt">
                <v:textbox>
                  <w:txbxContent>
                    <w:p w:rsidR="00CA075F" w:rsidRPr="007B6C13" w:rsidRDefault="00CA075F" w:rsidP="007B6C13">
                      <w:pPr>
                        <w:spacing w:after="0" w:line="360" w:lineRule="auto"/>
                        <w:jc w:val="right"/>
                        <w:rPr>
                          <w:rFonts w:ascii="Arial Narrow" w:hAnsi="Arial Narrow"/>
                          <w:color w:val="002060"/>
                          <w:sz w:val="26"/>
                          <w:szCs w:val="26"/>
                        </w:rPr>
                      </w:pPr>
                      <w:r w:rsidRPr="007B6C13">
                        <w:rPr>
                          <w:rFonts w:ascii="Arial Narrow" w:hAnsi="Arial Narrow"/>
                          <w:color w:val="002060"/>
                          <w:sz w:val="26"/>
                          <w:szCs w:val="26"/>
                        </w:rPr>
                        <w:t>Comissão da Indústria Imobiliária</w:t>
                      </w:r>
                    </w:p>
                    <w:p w:rsidR="00CA075F" w:rsidRDefault="00CA075F" w:rsidP="007B6C13">
                      <w:pPr>
                        <w:spacing w:after="0" w:line="360" w:lineRule="auto"/>
                        <w:jc w:val="right"/>
                        <w:rPr>
                          <w:rFonts w:ascii="Arial Narrow" w:hAnsi="Arial Narrow"/>
                          <w:color w:val="002060"/>
                          <w:sz w:val="26"/>
                          <w:szCs w:val="26"/>
                        </w:rPr>
                      </w:pPr>
                      <w:r w:rsidRPr="00FC3056">
                        <w:rPr>
                          <w:rFonts w:ascii="Arial Narrow" w:hAnsi="Arial Narrow"/>
                          <w:color w:val="002060"/>
                          <w:sz w:val="26"/>
                          <w:szCs w:val="26"/>
                        </w:rPr>
                        <w:t>Outubro/2019</w:t>
                      </w:r>
                    </w:p>
                    <w:p w:rsidR="00CA075F" w:rsidRPr="00FC3056" w:rsidRDefault="00CA075F" w:rsidP="00EC37DF">
                      <w:pPr>
                        <w:jc w:val="right"/>
                        <w:rPr>
                          <w:rFonts w:ascii="Arial Narrow" w:hAnsi="Arial Narrow"/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37D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19B6" wp14:editId="46B54E5B">
                <wp:simplePos x="0" y="0"/>
                <wp:positionH relativeFrom="column">
                  <wp:posOffset>-260985</wp:posOffset>
                </wp:positionH>
                <wp:positionV relativeFrom="paragraph">
                  <wp:posOffset>-4715510</wp:posOffset>
                </wp:positionV>
                <wp:extent cx="6248400" cy="9144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75F" w:rsidRPr="00EC37DF" w:rsidRDefault="00CA075F" w:rsidP="00EC37D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40"/>
                                <w:szCs w:val="32"/>
                              </w:rPr>
                            </w:pPr>
                            <w:r w:rsidRPr="00EC37DF">
                              <w:rPr>
                                <w:rFonts w:ascii="Arial Narrow" w:hAnsi="Arial Narrow"/>
                                <w:b/>
                                <w:color w:val="002060"/>
                                <w:sz w:val="40"/>
                                <w:szCs w:val="32"/>
                              </w:rPr>
                              <w:t>Considerações sobre o momento econômico atual para aquisição (ou investimento) em imóvel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27" type="#_x0000_t202" style="position:absolute;margin-left:-20.55pt;margin-top:-371.3pt;width:49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" fillcolor="white [3201]" stroked="f" strokeweight=".5pt">
                <v:textbox>
                  <w:txbxContent>
                    <w:p w:rsidR="00CA075F" w:rsidRPr="00EC37DF" w:rsidRDefault="00CA075F" w:rsidP="00EC37DF">
                      <w:pPr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40"/>
                          <w:szCs w:val="32"/>
                        </w:rPr>
                      </w:pPr>
                      <w:r w:rsidRPr="00EC37DF">
                        <w:rPr>
                          <w:rFonts w:ascii="Arial Narrow" w:hAnsi="Arial Narrow"/>
                          <w:b/>
                          <w:color w:val="002060"/>
                          <w:sz w:val="40"/>
                          <w:szCs w:val="32"/>
                        </w:rPr>
                        <w:t>Considerações sobre o momento econômico atual para aquisição (ou investimento) em imóvel</w:t>
                      </w:r>
                    </w:p>
                  </w:txbxContent>
                </v:textbox>
              </v:shape>
            </w:pict>
          </mc:Fallback>
        </mc:AlternateContent>
      </w:r>
      <w:r w:rsidR="00BA2922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139ABDD" wp14:editId="4C833937">
            <wp:simplePos x="0" y="0"/>
            <wp:positionH relativeFrom="column">
              <wp:posOffset>-1080135</wp:posOffset>
            </wp:positionH>
            <wp:positionV relativeFrom="paragraph">
              <wp:posOffset>-895350</wp:posOffset>
            </wp:positionV>
            <wp:extent cx="7591425" cy="10739755"/>
            <wp:effectExtent l="0" t="0" r="9525" b="444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Ied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A6C" w:rsidRDefault="00132A6C" w:rsidP="00132A6C">
      <w:pPr>
        <w:spacing w:before="100" w:beforeAutospacing="1" w:after="720" w:line="240" w:lineRule="auto"/>
        <w:jc w:val="center"/>
        <w:outlineLvl w:val="1"/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lastRenderedPageBreak/>
        <w:t>Considerações sobre o momento econômico atual para aquisição (ou investimento) em imóvel</w:t>
      </w: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Apesar do crescimento ainda modesto da economia nacional em 2019, dois indicadores chamam a atenção dos mais diversos analistas</w:t>
      </w:r>
      <w:r w:rsidR="00D76612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: a inflação </w:t>
      </w:r>
      <w:proofErr w:type="gramStart"/>
      <w:r w:rsidR="00D76612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sob controle</w:t>
      </w:r>
      <w:proofErr w:type="gramEnd"/>
      <w:r w:rsidR="00D76612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 o baixo patamar da taxa Selic. </w:t>
      </w:r>
      <w:r w:rsidR="00C867F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 inflação, medida pelo Índice de Preços ao Consumidor Amplo (IPCA), calculado e divulgado pelo Instituto Brasileiro de Economia e Estatística (IBGE)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deverá encerrar o ano abaixo do centro da meta (4,2</w:t>
      </w:r>
      <w:r w:rsidR="00DB2B5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5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%).  De acordo com a pesquisa Focus, realizada semanalmente pelo Banco Central</w:t>
      </w:r>
      <w:r w:rsidR="00DF679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, 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o IPCA </w:t>
      </w:r>
      <w:r w:rsidR="00ED1D06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acumulará, em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2019</w:t>
      </w:r>
      <w:r w:rsidR="00ED1D06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 variação de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3,</w:t>
      </w:r>
      <w:r w:rsidR="00C31D27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28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%.</w:t>
      </w:r>
      <w:r w:rsidR="00DF679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 taxa Selic, por sua vez, encontra-se em se</w:t>
      </w:r>
      <w:r w:rsidR="00A07B1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u</w:t>
      </w:r>
      <w:r w:rsidR="00DF679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menor </w:t>
      </w:r>
      <w:r w:rsidR="00FE2874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nível</w:t>
      </w:r>
      <w:r w:rsidR="00DF679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histórico. 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DF679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Comitê de Política Monetária (Copom)</w:t>
      </w:r>
      <w:r w:rsidR="00C867F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em sua última reunião</w:t>
      </w:r>
      <w:r w:rsidR="0048325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realizada em setembro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DF679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reduziu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 taxa básica de juros d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economia </w:t>
      </w:r>
      <w:r w:rsid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de 6% para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5,5</w:t>
      </w:r>
      <w:r w:rsidR="00DF679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%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.</w:t>
      </w:r>
      <w:r w:rsidR="00A15101" w:rsidRP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Foi o décimo quarto corte desde quando a taxa atingiu o pico de 14,25% ao ano (entre julho de 2015 e outubro de 2016).</w:t>
      </w:r>
      <w:r w:rsidR="00B02FFF" w:rsidRPr="00B02FFF">
        <w:rPr>
          <w:rFonts w:ascii="Helvetica" w:hAnsi="Helvetica" w:cs="Helvetica"/>
          <w:color w:val="333333"/>
          <w:spacing w:val="-8"/>
          <w:sz w:val="30"/>
          <w:szCs w:val="30"/>
          <w:shd w:val="clear" w:color="auto" w:fill="FFFFFF"/>
        </w:rPr>
        <w:t xml:space="preserve"> </w:t>
      </w:r>
      <w:r w:rsidR="00B02FFF">
        <w:rPr>
          <w:rFonts w:ascii="Helvetica" w:hAnsi="Helvetica" w:cs="Helvetica"/>
          <w:color w:val="333333"/>
          <w:spacing w:val="-8"/>
          <w:sz w:val="30"/>
          <w:szCs w:val="30"/>
          <w:shd w:val="clear" w:color="auto" w:fill="FFFFFF"/>
        </w:rPr>
        <w:t xml:space="preserve"> </w:t>
      </w:r>
      <w:r w:rsidR="00B02FFF" w:rsidRPr="00B02FF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Além disso, o Copom sinalizou a possibilidade </w:t>
      </w:r>
      <w:r w:rsidR="00C867F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de nova redução</w:t>
      </w:r>
      <w:r w:rsidR="00B02FFF" w:rsidRPr="00B02FF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.</w:t>
      </w:r>
      <w:r w:rsid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Assim, algumas projeções </w:t>
      </w:r>
      <w:r w:rsidR="00B02FF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indicam</w:t>
      </w:r>
      <w:r w:rsid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que a </w:t>
      </w:r>
      <w:r w:rsidR="00DF679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Selic</w:t>
      </w:r>
      <w:r w:rsid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poderá encerrar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2019 em 4,75%</w:t>
      </w:r>
      <w:r w:rsid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.  Também existe perspectiva de outro recuo em 2020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, podendo </w:t>
      </w:r>
      <w:r w:rsidR="00B02FF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esta taxa</w:t>
      </w:r>
      <w:r w:rsid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chegar a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4,5% no início</w:t>
      </w:r>
      <w:r w:rsid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do próximo ano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.</w:t>
      </w:r>
      <w:r w:rsid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Sem dúvidas, essa é uma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situação inédita de juros estruturalmente reduzido no País</w:t>
      </w:r>
      <w:r w:rsidRPr="00321B5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.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Neste </w:t>
      </w:r>
      <w:r w:rsidR="00B02FF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cenário de inflação sob controle e juros baixos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B02FF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observa-se que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o Brasil vivencia um dos melhores momentos para a compra de um imóvel, seja para a moradia</w:t>
      </w:r>
      <w:r w:rsid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FB4257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(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realização do sonho da casa própria</w:t>
      </w:r>
      <w:r w:rsid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)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, ou para o investimento. </w:t>
      </w: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Para a </w:t>
      </w:r>
      <w:r w:rsidRPr="007C06CB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>aquisição da casa própria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 vários fatores ajudam a</w:t>
      </w:r>
      <w:r w:rsidR="00A151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Pr="007C06CB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>justifica</w:t>
      </w:r>
      <w:r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>r</w:t>
      </w:r>
      <w:r w:rsidRPr="007C06CB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 xml:space="preserve"> </w:t>
      </w:r>
      <w:r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>essa análise:</w:t>
      </w:r>
    </w:p>
    <w:p w:rsidR="00132A6C" w:rsidRPr="007C06CB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</w:pPr>
    </w:p>
    <w:p w:rsidR="00596399" w:rsidRDefault="007E37BB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1 -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Inicialmente é preciso considerar que o </w:t>
      </w:r>
      <w:r w:rsidR="00132A6C" w:rsidRPr="007C06CB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>emprego formal está voltando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. De janeiro a </w:t>
      </w:r>
      <w:r w:rsidR="001C6E1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agosto</w:t>
      </w:r>
      <w:r w:rsidR="00E70A8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/19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1C6E1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foram gerad</w:t>
      </w:r>
      <w:r w:rsidR="00E70A8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</w:t>
      </w:r>
      <w:r w:rsidR="001C6E1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s 593.467 </w:t>
      </w:r>
      <w:r w:rsidR="00E70A8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novas vagas (série ajustada)</w:t>
      </w:r>
      <w:r w:rsidR="00F3646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com carteira assinada em todo o País demonstrando que, aos pouc</w:t>
      </w:r>
      <w:r w:rsidR="001E4D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os, a economia volta a caminhar. Foi o melhor resultado para o período desde 2014, quando mais de 750 mil vagas foram abertas. </w:t>
      </w:r>
    </w:p>
    <w:p w:rsidR="001E4DEE" w:rsidRDefault="001E4DEE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1E4DEE" w:rsidRDefault="001E4DEE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596399" w:rsidRDefault="009D71D3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noProof/>
          <w:color w:val="252226"/>
          <w:sz w:val="26"/>
          <w:szCs w:val="26"/>
          <w:lang w:eastAsia="pt-BR"/>
        </w:rPr>
        <w:drawing>
          <wp:inline distT="0" distB="0" distL="0" distR="0" wp14:anchorId="7F675B1A">
            <wp:extent cx="5715000" cy="1905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25" cy="1909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399" w:rsidRDefault="00596399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596399" w:rsidRDefault="00596399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596399" w:rsidRDefault="00596399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132A6C" w:rsidRPr="00DE1C37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</w:p>
    <w:p w:rsidR="001E4DEE" w:rsidRDefault="007E37BB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lastRenderedPageBreak/>
        <w:t xml:space="preserve">2 </w:t>
      </w:r>
      <w:r w:rsidR="00084F24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–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084F24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 número de vendas de apartamentos em todo o País está superando os lançamentos. Isso leva a uma redução da</w:t>
      </w:r>
      <w:r w:rsidR="0040509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132A6C" w:rsidRPr="007C06CB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>oferta (estoque de unidades novas disponíveis para venda)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. </w:t>
      </w:r>
      <w:r w:rsidR="00084F24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Desta forma, a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s oportunidades de preços hoje existentes podem estar com os dias contados. O mercado imobiliário obedece </w:t>
      </w:r>
      <w:proofErr w:type="gramStart"/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</w:t>
      </w:r>
      <w:proofErr w:type="gramEnd"/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lei da oferta e da demanda. Quanto menor a oferta, maior o preço</w:t>
      </w:r>
      <w:r w:rsidR="001E4D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. Por isso, pode-se assistir nos próximos meses um aumento de preço do imóvel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. Dados da pesquisa </w:t>
      </w:r>
      <w:r w:rsidR="0068739B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I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ndicadores </w:t>
      </w:r>
      <w:proofErr w:type="gramStart"/>
      <w:r w:rsidR="0068739B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I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mobiliários</w:t>
      </w:r>
      <w:r w:rsidR="0068739B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Nacionais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68739B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divulgada</w:t>
      </w:r>
      <w:proofErr w:type="gramEnd"/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pela Comissão da Indústria Imobiliária (CII)</w:t>
      </w:r>
      <w:r w:rsidR="001E4D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da Câmara Brasileira da Indústria da Construção (CBIC)</w:t>
      </w:r>
      <w:r w:rsidR="001E4D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A403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demonstram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que</w:t>
      </w:r>
      <w:r w:rsidR="001E4D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no final do primeiro semestre do ano</w:t>
      </w:r>
      <w:r w:rsidR="001E4D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o número de unidades </w:t>
      </w:r>
      <w:r w:rsidR="001E4D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novas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disponíveis</w:t>
      </w:r>
      <w:r w:rsidR="001E4D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para comercialização</w:t>
      </w:r>
      <w:r w:rsidR="00A403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1E4D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no País era 111.055. Considerando que no início </w:t>
      </w:r>
      <w:r w:rsidR="0068739B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de</w:t>
      </w:r>
      <w:r w:rsidR="001E4D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2016 era 1</w:t>
      </w:r>
      <w:r w:rsidR="00A403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6</w:t>
      </w:r>
      <w:r w:rsidR="001E4D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3.604 unidades verifica-se uma queda superior a 30%.</w:t>
      </w:r>
    </w:p>
    <w:p w:rsidR="001E4DEE" w:rsidRDefault="001E4DEE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</w:p>
    <w:p w:rsidR="00132A6C" w:rsidRPr="001E4DEE" w:rsidRDefault="001E4DEE" w:rsidP="00132A6C">
      <w:pPr>
        <w:spacing w:after="0" w:line="240" w:lineRule="auto"/>
        <w:jc w:val="center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  <w:r w:rsidRPr="001E4DEE">
        <w:rPr>
          <w:rFonts w:ascii="Arial Narrow" w:hAnsi="Arial Narrow"/>
          <w:b/>
          <w:color w:val="C00000"/>
        </w:rPr>
        <w:t xml:space="preserve">Brasil - </w:t>
      </w:r>
      <w:r w:rsidR="00132A6C" w:rsidRPr="001E4DEE">
        <w:rPr>
          <w:rFonts w:ascii="Arial Narrow" w:hAnsi="Arial Narrow"/>
          <w:b/>
          <w:color w:val="C00000"/>
        </w:rPr>
        <w:t>Evolução da Oferta Final</w:t>
      </w:r>
      <w:r w:rsidRPr="001E4DEE">
        <w:rPr>
          <w:rFonts w:ascii="Arial Narrow" w:hAnsi="Arial Narrow"/>
          <w:b/>
          <w:color w:val="C00000"/>
        </w:rPr>
        <w:t xml:space="preserve"> de imóveis novos disponíveis para comercialização</w:t>
      </w:r>
    </w:p>
    <w:p w:rsidR="00132A6C" w:rsidRPr="0049206B" w:rsidRDefault="00132A6C" w:rsidP="00132A6C">
      <w:pPr>
        <w:spacing w:after="0" w:line="240" w:lineRule="auto"/>
        <w:jc w:val="center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  <w:r>
        <w:rPr>
          <w:noProof/>
          <w:lang w:eastAsia="pt-BR"/>
        </w:rPr>
        <w:drawing>
          <wp:inline distT="0" distB="0" distL="0" distR="0" wp14:anchorId="195C6D04" wp14:editId="09CEF24C">
            <wp:extent cx="5400040" cy="282588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</w:p>
    <w:p w:rsidR="001E4DEE" w:rsidRPr="002E35C3" w:rsidRDefault="0068739B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Outro exemplo merece ser destacado.</w:t>
      </w:r>
      <w:r w:rsidR="001E4DEE" w:rsidRPr="002E35C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2E35C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Em Belo Horizonte e </w:t>
      </w:r>
      <w:proofErr w:type="gramStart"/>
      <w:r w:rsidR="002E35C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Nova Lima</w:t>
      </w:r>
      <w:proofErr w:type="gramEnd"/>
      <w:r w:rsidR="002E35C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 oferta de apartamentos novos disponíveis para comercialização encontra-se no seu menor patamar histórico. Conforme dados do Censo Imobiliário realizado pela Brain Consultoria, para o </w:t>
      </w:r>
      <w:proofErr w:type="gramStart"/>
      <w:r w:rsidR="002E35C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Sinduscon-MG</w:t>
      </w:r>
      <w:proofErr w:type="gramEnd"/>
      <w:r w:rsidR="002E35C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, em janeiro/16 as referidas cidades possuíam 6.545 unidades para venda. Em agosto/19 esse número era de 3.310 unidades, ou seja, redução de quase 50%. </w:t>
      </w:r>
    </w:p>
    <w:p w:rsidR="001E4DEE" w:rsidRDefault="001E4DEE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</w:p>
    <w:p w:rsidR="001E4DEE" w:rsidRDefault="00B17D80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  <w:r w:rsidRPr="00B17D80">
        <w:rPr>
          <w:noProof/>
          <w:lang w:eastAsia="pt-BR"/>
        </w:rPr>
        <w:lastRenderedPageBreak/>
        <w:drawing>
          <wp:inline distT="0" distB="0" distL="0" distR="0" wp14:anchorId="5F76C403" wp14:editId="6A4A8041">
            <wp:extent cx="5400040" cy="3306238"/>
            <wp:effectExtent l="0" t="0" r="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AF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</w:p>
    <w:p w:rsidR="002904AF" w:rsidRPr="002904AF" w:rsidRDefault="00F3646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3 - 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A baixa oferta de imóveis novos tem provocado </w:t>
      </w:r>
      <w:r w:rsidR="002904AF" w:rsidRPr="00F3646F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>aumento nos preços dos imóveis residenciais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.  Considerando o</w:t>
      </w:r>
      <w:r w:rsidR="00A403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valor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médio de unidades residenciais para Belo Horizonte e </w:t>
      </w:r>
      <w:proofErr w:type="gramStart"/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Nova Lima</w:t>
      </w:r>
      <w:proofErr w:type="gramEnd"/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, conforme </w:t>
      </w:r>
      <w:r w:rsidR="00A403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 Censo Imobiliário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 observa-se que nos últimos 12 meses</w:t>
      </w:r>
      <w:r w:rsidR="00B17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encerrados em agosto</w:t>
      </w:r>
      <w:r w:rsidR="00B17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/19,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esse preço registrou um incremento de 6,99% ao passar de R$7.907,00/m² </w:t>
      </w:r>
      <w:r w:rsidR="00B17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(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agosto/18</w:t>
      </w:r>
      <w:r w:rsidR="00B17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)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para R$8.460,00/m²</w:t>
      </w:r>
      <w:r w:rsidR="00B17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(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agosto/19</w:t>
      </w:r>
      <w:r w:rsidR="00B17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)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. Neste mesmo período</w:t>
      </w:r>
      <w:r w:rsidR="00A403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o IPCA/IBGE aumentou 3,43%. Portanto, observa-se uma variação real de 3,44%</w:t>
      </w:r>
      <w:r w:rsidR="00A403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no preço de apartamentos novos</w:t>
      </w:r>
      <w:r w:rsidR="002904AF" w:rsidRPr="002904A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. E a tendência de aumento pode-se acentuar, pois as vendas continuam superando os lançamentos, dificultando a recomposição do estoque. </w:t>
      </w:r>
    </w:p>
    <w:p w:rsidR="002904AF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</w:p>
    <w:p w:rsidR="00132A6C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  <w:r w:rsidRPr="002904AF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FD3AD00" wp14:editId="46A095B1">
            <wp:simplePos x="0" y="0"/>
            <wp:positionH relativeFrom="column">
              <wp:posOffset>100965</wp:posOffset>
            </wp:positionH>
            <wp:positionV relativeFrom="paragraph">
              <wp:posOffset>100330</wp:posOffset>
            </wp:positionV>
            <wp:extent cx="5400040" cy="300926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4AF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</w:p>
    <w:p w:rsidR="00132A6C" w:rsidRDefault="00F3646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lastRenderedPageBreak/>
        <w:t>4</w:t>
      </w:r>
      <w:r w:rsidR="007E37BB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 xml:space="preserve"> - </w:t>
      </w:r>
      <w:r w:rsidR="00132A6C" w:rsidRPr="0049206B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>Nova modalidade de crédito imobiliário da Caixa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– Em agosto a Caixa Econômica Federal lançou uma nova modalidade de financiamento imobiliário, com </w:t>
      </w:r>
      <w:r w:rsidR="002B647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atualizações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pela variação do IPCA, indicador oficial da inflação no País. </w:t>
      </w:r>
      <w:r w:rsidR="002B647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É uma alternativa às tradicionais linhas de crédito habitacional</w:t>
      </w:r>
      <w:r w:rsidR="00C45183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no País</w:t>
      </w:r>
      <w:r w:rsidR="002B647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 que pode beneficiar o comprador do imóvel, pois possibilita uma economia inicial por oferecer taxas mais baixas: 2,95% ao ano a 4,95% ao ano, mais a variação da inflação. O IPCA,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nos últimos 12 meses encerrados em </w:t>
      </w:r>
      <w:r w:rsidR="007E37BB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agosto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/2019, </w:t>
      </w:r>
      <w:r w:rsidR="007E37BB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acumulou alta de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3,</w:t>
      </w:r>
      <w:r w:rsidR="007E37BB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43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%. A expectativa, de acordo com a pesquisa Focus</w:t>
      </w:r>
      <w:r w:rsidR="002B647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realizada pelo Banco Central, é que o referido indicador encerre 2019 em 3,42%.  </w:t>
      </w: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132A6C" w:rsidRPr="00DE1C37" w:rsidRDefault="00AA3382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  <w:r w:rsidRPr="00AA3382">
        <w:rPr>
          <w:noProof/>
          <w:lang w:eastAsia="pt-BR"/>
        </w:rPr>
        <w:drawing>
          <wp:inline distT="0" distB="0" distL="0" distR="0" wp14:anchorId="70967699" wp14:editId="5750BA40">
            <wp:extent cx="5400040" cy="283782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AF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2904AF" w:rsidRDefault="00FD27C0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Nas avaliações sobre a vantagem da utilização do IPCA deve-se considerar que </w:t>
      </w:r>
      <w:r w:rsidR="00A403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período pós </w:t>
      </w:r>
      <w:r w:rsidR="000D0D4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Plano Real</w:t>
      </w:r>
      <w:r w:rsidR="00A4030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, ou seja, a partir de julho de 1994, até agosto/19, o IPCA registrou incremento de </w:t>
      </w:r>
      <w:r w:rsidR="00A57E3D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510,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05</w:t>
      </w:r>
      <w:r w:rsidR="00A57E3D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%. Nesse mesmo período o salário mínimo evoluiu </w:t>
      </w:r>
      <w:r w:rsidR="00E2050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1.440,36% ao passar de R$64,79 em julho/94 para R$998,00 em agosto/19. </w:t>
      </w:r>
    </w:p>
    <w:p w:rsidR="00F4195F" w:rsidRDefault="00F4195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2904AF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CB37F8" w:rsidRDefault="00F3646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5</w:t>
      </w:r>
      <w:r w:rsidR="00AA3382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-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Além disso, em função de mais um corte </w:t>
      </w:r>
      <w:r w:rsidR="005609D5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na Selic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, os </w:t>
      </w:r>
      <w:r w:rsidR="00132A6C" w:rsidRPr="007C06CB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>bancos privados</w:t>
      </w:r>
      <w:r w:rsidR="00132A6C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 xml:space="preserve"> iniciaram uma reestruturação no segmento de crédito imobiliário e estão reduzindo as suas taxas de juros</w:t>
      </w:r>
      <w:r w:rsidR="00132A6C" w:rsidRPr="007C06CB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 xml:space="preserve">.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Santander, Bradesco e Itaú são alguns deles.  E não causará surpresa se novas quedas acontecerem. Isso significa que a disputa entre os bancos privados no crédito imobiliário deve se acirrar ainda mais especialmente considerando que este é um tipo de financiamento de baixo risco e que fideliza o cliente por longos anos. </w:t>
      </w:r>
    </w:p>
    <w:p w:rsidR="002904AF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2904AF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2904AF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25100E" w:rsidRDefault="0025100E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F4195F" w:rsidRDefault="00F4195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2904AF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2904AF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2904AF" w:rsidRDefault="002904AF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CB37F8" w:rsidRDefault="00CB37F8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CB37F8" w:rsidRPr="00CB37F8" w:rsidRDefault="00CB37F8" w:rsidP="00CB37F8">
      <w:pPr>
        <w:spacing w:after="0" w:line="240" w:lineRule="auto"/>
        <w:jc w:val="center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  <w:r w:rsidRPr="00CB37F8"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  <w:lastRenderedPageBreak/>
        <w:t>Taxas de juros para financiamento imobiliário em alguns bancos</w:t>
      </w:r>
    </w:p>
    <w:p w:rsidR="00CB37F8" w:rsidRDefault="00CB37F8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noProof/>
          <w:lang w:eastAsia="pt-BR"/>
        </w:rPr>
        <w:drawing>
          <wp:inline distT="0" distB="0" distL="0" distR="0" wp14:anchorId="6331F7CB" wp14:editId="0EFC0AB4">
            <wp:extent cx="5400040" cy="2943810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Fonte: Infomoney - </w:t>
      </w:r>
      <w:hyperlink r:id="rId15" w:history="1">
        <w:r>
          <w:rPr>
            <w:rStyle w:val="Hyperlink"/>
          </w:rPr>
          <w:t>https://www.infomoney.com.br/minhas-financas/financiamento-imobiliario-as-taxas-de-juros-praticadas-pelos-bancos-no-brasil/amp/</w:t>
        </w:r>
      </w:hyperlink>
      <w:r>
        <w:t xml:space="preserve"> - 2 de outubro/2019</w:t>
      </w: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132A6C" w:rsidRDefault="00132A6C" w:rsidP="00132A6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132A6C" w:rsidRDefault="00F3646F" w:rsidP="00F943BC">
      <w:pPr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6</w:t>
      </w:r>
      <w:r w:rsidR="00AA3382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– </w:t>
      </w:r>
      <w:r w:rsidR="00641ECF" w:rsidRPr="00641ECF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>Crescimento do crédito imobiliário com recursos da caderneta de poupança</w:t>
      </w:r>
      <w:r w:rsidR="00641EC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: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Conforme dados da Associação Brasileira d</w:t>
      </w:r>
      <w:r w:rsidR="000B5562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as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Entidades de Crédito Imobiliário e Poupança (Abecip) </w:t>
      </w:r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de janeiro a agosto/19 </w:t>
      </w:r>
      <w:proofErr w:type="gramStart"/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foram</w:t>
      </w:r>
      <w:proofErr w:type="gramEnd"/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financiadas, com recursos do SBPE,</w:t>
      </w:r>
      <w:r w:rsidR="00AC6EE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em todo o País 180.511 unidades, o que correspondeu a um incremento de 27</w:t>
      </w:r>
      <w:r w:rsidR="000B5562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64% em relação ao mesmo período do ano anterior (141.419).</w:t>
      </w:r>
      <w:r w:rsidR="000B5562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Foi o melhor resultado para o período nos últimos quatro anos. </w:t>
      </w:r>
    </w:p>
    <w:p w:rsidR="00F943BC" w:rsidRDefault="00207DD7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  <w:r w:rsidRPr="00207DD7">
        <w:rPr>
          <w:noProof/>
          <w:lang w:eastAsia="pt-BR"/>
        </w:rPr>
        <w:drawing>
          <wp:inline distT="0" distB="0" distL="0" distR="0" wp14:anchorId="7FE23B44" wp14:editId="2508987D">
            <wp:extent cx="5400040" cy="24325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6C" w:rsidRDefault="000B5562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Sempre é bom destacar que o </w:t>
      </w:r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Brasil mudou de patamar no crédito imobiliário. </w:t>
      </w:r>
      <w:r w:rsidR="00132A6C" w:rsidRPr="00E338B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Mesmo considerando todo o incremento </w:t>
      </w:r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observado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na última década</w:t>
      </w:r>
      <w:r w:rsidR="00132A6C" w:rsidRPr="00E338B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há muito espaço</w:t>
      </w:r>
      <w:r w:rsidR="00132A6C" w:rsidRPr="00E338B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para crescimento. </w:t>
      </w:r>
      <w:r w:rsidR="00132A6C" w:rsidRPr="00E338B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Isso significa que, co</w:t>
      </w:r>
      <w:r w:rsidR="00132A6C" w:rsidRPr="00E338B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mparado a outros países a relação crédito imobiliário x PIB ainda é bem modesta. Neste contexto, é preciso considerar, de acordo com estudo </w:t>
      </w:r>
      <w:r w:rsidR="00132A6C" w:rsidRPr="00E338B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lastRenderedPageBreak/>
        <w:t>realizado pela Fundação Getúlio Vargas, que em 2017 o déficit habitacional no Brasil era de 7,8 milhões de moradias</w:t>
      </w:r>
      <w:r w:rsidR="00DB162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(674 mil em Minas Gerais). </w:t>
      </w:r>
    </w:p>
    <w:p w:rsidR="00D91527" w:rsidRPr="00E338B0" w:rsidRDefault="00D91527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132A6C" w:rsidRDefault="00132A6C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  <w:r>
        <w:rPr>
          <w:noProof/>
          <w:lang w:eastAsia="pt-BR"/>
        </w:rPr>
        <w:drawing>
          <wp:inline distT="0" distB="0" distL="0" distR="0" wp14:anchorId="76335AB4" wp14:editId="2B2B97E3">
            <wp:extent cx="5652638" cy="2924175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8062" cy="292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A6C" w:rsidRDefault="00132A6C" w:rsidP="00132A6C">
      <w:pPr>
        <w:pStyle w:val="Default"/>
      </w:pPr>
    </w:p>
    <w:p w:rsidR="00132A6C" w:rsidRPr="002F71CA" w:rsidRDefault="00132A6C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  <w:r w:rsidRPr="002F71CA">
        <w:rPr>
          <w:rFonts w:ascii="Arial Narrow" w:hAnsi="Arial Narrow"/>
          <w:sz w:val="23"/>
          <w:szCs w:val="23"/>
        </w:rPr>
        <w:t xml:space="preserve">Fonte: Euro </w:t>
      </w:r>
      <w:r w:rsidR="007F1A8D">
        <w:rPr>
          <w:rFonts w:ascii="Arial Narrow" w:hAnsi="Arial Narrow"/>
          <w:sz w:val="23"/>
          <w:szCs w:val="23"/>
        </w:rPr>
        <w:t>M</w:t>
      </w:r>
      <w:r w:rsidRPr="002F71CA">
        <w:rPr>
          <w:rFonts w:ascii="Arial Narrow" w:hAnsi="Arial Narrow"/>
          <w:sz w:val="23"/>
          <w:szCs w:val="23"/>
        </w:rPr>
        <w:t>onitor International 2017</w:t>
      </w:r>
      <w:r w:rsidR="007F1A8D">
        <w:rPr>
          <w:rFonts w:ascii="Arial Narrow" w:hAnsi="Arial Narrow"/>
          <w:sz w:val="23"/>
          <w:szCs w:val="23"/>
        </w:rPr>
        <w:t>.</w:t>
      </w:r>
    </w:p>
    <w:p w:rsidR="00132A6C" w:rsidRDefault="00132A6C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Portanto, </w:t>
      </w:r>
      <w:r w:rsidR="00C1007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 reduzida oferta de imóveis residenciais novos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7906E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taxa </w:t>
      </w:r>
      <w:r w:rsidR="007906E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Selic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em queda,</w:t>
      </w:r>
      <w:r w:rsidR="007906E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o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aumento do crédito imobiliário</w:t>
      </w:r>
      <w:r w:rsidR="007906E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com recursos </w:t>
      </w:r>
      <w:r w:rsidR="00DB162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da poupança</w:t>
      </w:r>
      <w:r w:rsidR="007906E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 a</w:t>
      </w:r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redução das taxas de financiamento</w:t>
      </w:r>
      <w:r w:rsidR="007906E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 a</w:t>
      </w:r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nova modalidade de crédito imobiliário</w:t>
      </w:r>
      <w:r w:rsidR="007906E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da Caixa e o aumento do emprego com carteira assinada são</w:t>
      </w:r>
      <w:r w:rsidR="00C1007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alguns</w:t>
      </w:r>
      <w:r w:rsidR="007906E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fatores que</w:t>
      </w:r>
      <w:r w:rsidR="00C1007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7906E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ajudam a demonstrar que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as condições necessárias para a aquisição </w:t>
      </w:r>
      <w:r w:rsidR="007906EA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da casa própria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A358E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são especiais neste momento.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 </w:t>
      </w:r>
    </w:p>
    <w:p w:rsidR="00B81A56" w:rsidRDefault="00B81A56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132A6C" w:rsidRDefault="00A358EE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Considerando o </w:t>
      </w:r>
      <w:r w:rsidRPr="00AC6EE8">
        <w:rPr>
          <w:rFonts w:ascii="Arial Narrow" w:eastAsia="Times New Roman" w:hAnsi="Arial Narrow" w:cs="Times New Roman"/>
          <w:b/>
          <w:color w:val="252226"/>
          <w:sz w:val="26"/>
          <w:szCs w:val="26"/>
          <w:lang w:eastAsia="pt-BR"/>
        </w:rPr>
        <w:t>imóvel como investimento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 o momento</w:t>
      </w:r>
      <w:r w:rsidR="00DB162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também</w:t>
      </w:r>
      <w:r w:rsidR="00CA4F5B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é </w:t>
      </w:r>
      <w:r w:rsidR="00DB162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bastante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oportuno. </w:t>
      </w:r>
      <w:r w:rsidR="00AC6EE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Neste contexto,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sempre é bom destacar que quando acontece uma redução da taxa Selic, os títulos</w:t>
      </w:r>
      <w:r w:rsidR="0089477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indexados a ela e as aplicações em renda fixa passam a oferecer uma remuneração menor. </w:t>
      </w:r>
      <w:r w:rsidR="00AC6EE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Conforme já destacado anteriormente, a taxa Selic encontra-se no seu menor patamar histórico, com possibilidade de baixa.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Naturalmente os inves</w:t>
      </w:r>
      <w:r w:rsidR="00DB162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tidores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buscam alocar os seus recursos</w:t>
      </w:r>
      <w:r w:rsidR="00EE2FE6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objetivando a maior rentabilidade e a menor exposição de riscos.  </w:t>
      </w:r>
      <w:r w:rsidR="00DB162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Assim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, </w:t>
      </w:r>
      <w:r w:rsidR="0089477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neste cenário, </w:t>
      </w:r>
      <w:r w:rsidR="00DB162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os investimentos em imóveis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ganham atenção especial. </w:t>
      </w:r>
    </w:p>
    <w:p w:rsidR="00AA6369" w:rsidRDefault="00AA6369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</w:p>
    <w:p w:rsidR="00AA6369" w:rsidRDefault="00AA6369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b/>
          <w:color w:val="C00000"/>
          <w:sz w:val="26"/>
          <w:szCs w:val="26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F08972B" wp14:editId="6F052BA8">
            <wp:extent cx="5400040" cy="3493712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EE" w:rsidRPr="009847EE" w:rsidRDefault="009847EE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0"/>
          <w:szCs w:val="20"/>
          <w:lang w:eastAsia="pt-BR"/>
        </w:rPr>
      </w:pPr>
      <w:r w:rsidRPr="009847EE">
        <w:rPr>
          <w:rFonts w:ascii="Arial Narrow" w:eastAsia="Times New Roman" w:hAnsi="Arial Narrow" w:cs="Times New Roman"/>
          <w:color w:val="252226"/>
          <w:sz w:val="20"/>
          <w:szCs w:val="20"/>
          <w:lang w:eastAsia="pt-BR"/>
        </w:rPr>
        <w:t>Fonte: Banco Central do Brasil (www.bcb.gov.br)</w:t>
      </w:r>
      <w:r>
        <w:rPr>
          <w:rFonts w:ascii="Arial Narrow" w:eastAsia="Times New Roman" w:hAnsi="Arial Narrow" w:cs="Times New Roman"/>
          <w:color w:val="252226"/>
          <w:sz w:val="20"/>
          <w:szCs w:val="20"/>
          <w:lang w:eastAsia="pt-BR"/>
        </w:rPr>
        <w:t>.</w:t>
      </w:r>
    </w:p>
    <w:p w:rsidR="00137311" w:rsidRDefault="00132A6C" w:rsidP="00137311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No cas</w:t>
      </w:r>
      <w:r w:rsidR="00AC6EE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da caderneta de poupança, por exemplo, com a taxa básica de juros igual ou menor do que 8,5%</w:t>
      </w:r>
      <w:r w:rsidR="00D272D6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641374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a sua </w:t>
      </w:r>
      <w:r w:rsidR="00641374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remuneração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é calculada a partir da soma de 70% da Selic e da TR, que está zerada há dois anos.</w:t>
      </w:r>
      <w:r w:rsidR="00673D80" w:rsidRPr="00673D80">
        <w:rPr>
          <w:color w:val="C00000"/>
          <w:shd w:val="clear" w:color="auto" w:fill="FFFFFF"/>
        </w:rPr>
        <w:t xml:space="preserve"> </w:t>
      </w:r>
      <w:r w:rsidR="00D272D6">
        <w:rPr>
          <w:color w:val="C00000"/>
          <w:shd w:val="clear" w:color="auto" w:fill="FFFFFF"/>
        </w:rPr>
        <w:t xml:space="preserve"> </w:t>
      </w:r>
      <w:r w:rsidR="00D272D6" w:rsidRPr="00D272D6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As suas aplicações </w:t>
      </w:r>
      <w:r w:rsidR="00D272D6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não possuem</w:t>
      </w:r>
      <w:r w:rsidR="00673D80" w:rsidRPr="00673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taxas nem imposto de renda.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641374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Mas, quanto</w:t>
      </w:r>
      <w:r w:rsidR="0013731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menor a taxa Selic menor os rendimentos da caderneta de poupança. Apesar </w:t>
      </w:r>
      <w:r w:rsidR="00673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de essa ser</w:t>
      </w:r>
      <w:r w:rsidR="0013731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 aplicação mais popular no Brasil</w:t>
      </w:r>
      <w:r w:rsidR="00641374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13731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e de possuir segurança, tem rendimento limitado, demonstrando que</w:t>
      </w:r>
      <w:r w:rsidR="002D0FA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esta</w:t>
      </w:r>
      <w:r w:rsidR="00137311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não é uma boa opção de investimento. </w:t>
      </w:r>
    </w:p>
    <w:p w:rsidR="00AC6EE8" w:rsidRDefault="00137311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 w:rsidRPr="00137311">
        <w:rPr>
          <w:noProof/>
          <w:lang w:eastAsia="pt-BR"/>
        </w:rPr>
        <w:drawing>
          <wp:inline distT="0" distB="0" distL="0" distR="0" wp14:anchorId="0D3FF571" wp14:editId="69B7A77F">
            <wp:extent cx="5400040" cy="2865327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EB" w:rsidRDefault="002612EB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 w:rsidRPr="002612EB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lastRenderedPageBreak/>
        <w:t>Além da poupança, o rendimento de outros investimentos mais conservadores também tem apresentado redução com a queda da taxa Selic</w:t>
      </w:r>
      <w:r w:rsidR="00132A6C" w:rsidRPr="002612EB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já que muitos são lastreados diretamente na variação dessa taxa.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Isso significa que, em um cenário de juros mais baixos, os investimentos estão com rentabilidade mais limitada. Aqueles que utilizam o CDI ou a Selic como referência tem retorno bem mais modesto. </w:t>
      </w:r>
      <w:r w:rsidR="002D0FA8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O gráfico abaixo demonstra o patamar atual da taxa Selic e a queda observada nos últimos dois anos. </w:t>
      </w:r>
    </w:p>
    <w:p w:rsidR="002612EB" w:rsidRDefault="00DB7239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noProof/>
          <w:color w:val="252226"/>
          <w:sz w:val="26"/>
          <w:szCs w:val="26"/>
          <w:lang w:eastAsia="pt-BR"/>
        </w:rPr>
        <w:drawing>
          <wp:inline distT="0" distB="0" distL="0" distR="0" wp14:anchorId="086B8383">
            <wp:extent cx="5762625" cy="3057719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5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A6C" w:rsidRDefault="00D91527" w:rsidP="00132A6C">
      <w:pPr>
        <w:spacing w:before="100" w:beforeAutospacing="1" w:after="0" w:line="240" w:lineRule="auto"/>
        <w:jc w:val="both"/>
        <w:outlineLvl w:val="1"/>
        <w:rPr>
          <w:rFonts w:ascii="Arial" w:hAnsi="Arial" w:cs="Arial"/>
          <w:color w:val="4D4D4D"/>
          <w:sz w:val="27"/>
          <w:szCs w:val="27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O quadro </w:t>
      </w:r>
      <w:r w:rsidR="00545087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a seguir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demonstra</w:t>
      </w:r>
      <w:r w:rsidR="00132A6C" w:rsidRPr="009171F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como seria o retorno do valor de R$100 mil aplicado ao longo do próximo ano, considerando três cenários distintos para a Selic: </w:t>
      </w:r>
      <w:r w:rsidR="00671425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i</w:t>
      </w:r>
      <w:r w:rsidR="00132A6C" w:rsidRPr="009171F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nicialmente considerou-se a taxa atual de 5,5%, no outro a taxa é reduzida para 5% e, por fim, considerou-se 4,75%. Nestes exemplos, o investimento seria na caderneta de poupança ou em aplicações que poderiam pagar 85%, 100% ou 120% do CDI (cuja variação é bem próxima da Selic). Os valores resultantes são líquidos do Imposto de Renda (17,5% para aplicações com prazo de 12 meses). Considerando que a inflação medida pelo IPCA/IBGE no próximo ano será de 3,7</w:t>
      </w:r>
      <w:r w:rsidR="0040509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8</w:t>
      </w:r>
      <w:r w:rsidR="00132A6C" w:rsidRPr="009171F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%, conforme projeção da pesquisa Focus (</w:t>
      </w:r>
      <w:r w:rsidR="0040509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4/10/2019</w:t>
      </w:r>
      <w:r w:rsidR="00132A6C" w:rsidRPr="009171F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) observa-se que os rendimentos da caderneta de poupança e 85% do CDI, considerando a Selic de 5,5%, praticamente são equivalentes a inflação, sem nenhum ganho real. Entretanto, caso a Selic apresente nova redução os rendimentos serão negativos (abaixo da inflação) nestas duas aplicações. Mesmo 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nos </w:t>
      </w:r>
      <w:r w:rsidR="001C4519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investimentos que</w:t>
      </w:r>
      <w:r w:rsidR="00132A6C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pagam 100% do CDI ou, então, 120%, considerando a inflação de 3,79%, os ganhos são muito modestos. </w:t>
      </w:r>
    </w:p>
    <w:p w:rsidR="00132A6C" w:rsidRDefault="0044446B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 w:rsidRPr="0044446B">
        <w:rPr>
          <w:noProof/>
          <w:lang w:eastAsia="pt-BR"/>
        </w:rPr>
        <w:drawing>
          <wp:inline distT="0" distB="0" distL="0" distR="0" wp14:anchorId="218FF855" wp14:editId="2B3691DF">
            <wp:extent cx="5400040" cy="145464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10" w:rsidRDefault="00C33F10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 w:rsidRPr="00C33F1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lastRenderedPageBreak/>
        <w:t>Como se observa, mesmo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considerando</w:t>
      </w:r>
      <w:r w:rsidRPr="00C33F1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os melhores investimentos conservadores em termos de rentabilidade e segurança - aqueles que remuneram 100% do </w:t>
      </w:r>
      <w:r w:rsidR="00084F24" w:rsidRPr="00C33F1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CDI </w:t>
      </w:r>
      <w:r w:rsidR="00084F24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(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ou mais) que já estão pagando muito pouco</w:t>
      </w:r>
      <w:proofErr w:type="gramStart"/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 podem</w:t>
      </w:r>
      <w:proofErr w:type="gramEnd"/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passar a render ainda menos.</w:t>
      </w:r>
    </w:p>
    <w:p w:rsidR="00132A6C" w:rsidRDefault="00132A6C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Muitos analistas destacam que, no momento atual, o adequado seria o</w:t>
      </w:r>
      <w:r w:rsidR="00C41B55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s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investimentos em títulos prefixados, ou seja, onde já se conhece o percentual do rendimento</w:t>
      </w:r>
      <w:r w:rsidR="00C41B55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no momento da aplicação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. </w:t>
      </w:r>
      <w:r w:rsidR="00C41B55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Neste caso, com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 Selic</w:t>
      </w:r>
      <w:r w:rsidR="00E74EF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estável, ou até </w:t>
      </w:r>
      <w:r w:rsidR="00C41B55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considerando novas quedas,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estes títulos podem oferecer ganho superior ao de operações pós-fixadas no curto prazo. Entretanto, se acontecer algum evento não esperado, que provoque um aumento da inflação, o Banco Central </w:t>
      </w:r>
      <w:r w:rsidR="00E74EF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poderá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elevar a taxa Selic, e, nesse caso, os investimentos </w:t>
      </w:r>
      <w:r w:rsidR="0022614D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prefixados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ficarão comprometidos. Assim, os investidores devem ficar </w:t>
      </w:r>
      <w:proofErr w:type="gramStart"/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atentos ao comportamento dos juros futuro, o</w:t>
      </w:r>
      <w:proofErr w:type="gramEnd"/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que certamente gera instabilidade. Portanto, os investimentos financeiros ficam prejudicados e </w:t>
      </w:r>
      <w:r w:rsidR="00C41B55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 adequado é buscar a segurança. Uma</w:t>
      </w:r>
      <w:r w:rsidR="00673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C41B55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oportunidade para os investimentos em imóveis, que são totalmente seguros.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673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r w:rsidR="0022614D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Num cenário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onde a oferta </w:t>
      </w:r>
      <w:r w:rsidR="0022614D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de imóvel 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disponível para comercialização em todo o</w:t>
      </w:r>
      <w:r w:rsidR="00673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País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está em baixa</w:t>
      </w:r>
      <w:r w:rsidR="00CA075F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,</w:t>
      </w:r>
      <w:r w:rsidR="0022614D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</w:t>
      </w:r>
      <w:proofErr w:type="gramStart"/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a</w:t>
      </w:r>
      <w:proofErr w:type="gramEnd"/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tendência é </w:t>
      </w:r>
      <w:r w:rsidR="0022614D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</w:t>
      </w: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aumento de preços</w:t>
      </w:r>
      <w:r w:rsidR="00B77AA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. Assim, com a</w:t>
      </w:r>
      <w:r w:rsidR="0022614D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inflação controlada e</w:t>
      </w:r>
      <w:r w:rsidR="00B77AA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a</w:t>
      </w:r>
      <w:r w:rsidR="0022614D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taxa de juros </w:t>
      </w:r>
      <w:r w:rsidR="00B77AAE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em queda,</w:t>
      </w:r>
      <w:bookmarkStart w:id="0" w:name="_GoBack"/>
      <w:bookmarkEnd w:id="0"/>
      <w:r w:rsidR="0022614D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o</w:t>
      </w:r>
      <w:r w:rsidR="00673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 momento ideal para </w:t>
      </w:r>
      <w:r w:rsidR="0022614D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o investimento em imóvel é agora</w:t>
      </w:r>
      <w:r w:rsidR="00673D80"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 xml:space="preserve">. </w:t>
      </w:r>
    </w:p>
    <w:p w:rsidR="0022614D" w:rsidRDefault="0022614D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</w:p>
    <w:p w:rsidR="0022614D" w:rsidRDefault="0022614D" w:rsidP="00132A6C">
      <w:pPr>
        <w:spacing w:before="100" w:beforeAutospacing="1" w:after="0" w:line="240" w:lineRule="auto"/>
        <w:jc w:val="both"/>
        <w:outlineLvl w:val="1"/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</w:pPr>
      <w:r>
        <w:rPr>
          <w:rFonts w:ascii="Arial Narrow" w:eastAsia="Times New Roman" w:hAnsi="Arial Narrow" w:cs="Times New Roman"/>
          <w:color w:val="252226"/>
          <w:sz w:val="26"/>
          <w:szCs w:val="26"/>
          <w:lang w:eastAsia="pt-BR"/>
        </w:rPr>
        <w:t>@@@@@@@@@@@@@@@@@@@@@@@@@@@@@@@@@@@@@@@</w:t>
      </w:r>
    </w:p>
    <w:sectPr w:rsidR="0022614D"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75F" w:rsidRDefault="00CA075F" w:rsidP="00D04207">
      <w:pPr>
        <w:spacing w:after="0" w:line="240" w:lineRule="auto"/>
      </w:pPr>
      <w:r>
        <w:separator/>
      </w:r>
    </w:p>
  </w:endnote>
  <w:endnote w:type="continuationSeparator" w:id="0">
    <w:p w:rsidR="00CA075F" w:rsidRDefault="00CA075F" w:rsidP="00D04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9435119"/>
      <w:docPartObj>
        <w:docPartGallery w:val="Page Numbers (Bottom of Page)"/>
        <w:docPartUnique/>
      </w:docPartObj>
    </w:sdtPr>
    <w:sdtContent>
      <w:p w:rsidR="00CA075F" w:rsidRDefault="00CA075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7AAE">
          <w:rPr>
            <w:noProof/>
          </w:rPr>
          <w:t>10</w:t>
        </w:r>
        <w:r>
          <w:fldChar w:fldCharType="end"/>
        </w:r>
      </w:p>
    </w:sdtContent>
  </w:sdt>
  <w:p w:rsidR="00CA075F" w:rsidRDefault="00CA075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75F" w:rsidRDefault="00CA075F" w:rsidP="00D04207">
      <w:pPr>
        <w:spacing w:after="0" w:line="240" w:lineRule="auto"/>
      </w:pPr>
      <w:r>
        <w:separator/>
      </w:r>
    </w:p>
  </w:footnote>
  <w:footnote w:type="continuationSeparator" w:id="0">
    <w:p w:rsidR="00CA075F" w:rsidRDefault="00CA075F" w:rsidP="00D042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922"/>
    <w:rsid w:val="00084F24"/>
    <w:rsid w:val="000B5562"/>
    <w:rsid w:val="000D0D41"/>
    <w:rsid w:val="00132A6C"/>
    <w:rsid w:val="00137311"/>
    <w:rsid w:val="001A5DB7"/>
    <w:rsid w:val="001C4519"/>
    <w:rsid w:val="001C6E13"/>
    <w:rsid w:val="001D3BDC"/>
    <w:rsid w:val="001E1C6E"/>
    <w:rsid w:val="001E4DEE"/>
    <w:rsid w:val="00207DD7"/>
    <w:rsid w:val="002125E3"/>
    <w:rsid w:val="00224260"/>
    <w:rsid w:val="0022614D"/>
    <w:rsid w:val="0025100E"/>
    <w:rsid w:val="002612EB"/>
    <w:rsid w:val="002904AF"/>
    <w:rsid w:val="002B6471"/>
    <w:rsid w:val="002D0FA8"/>
    <w:rsid w:val="002E35C3"/>
    <w:rsid w:val="002F709B"/>
    <w:rsid w:val="0040509F"/>
    <w:rsid w:val="0044446B"/>
    <w:rsid w:val="00474BAA"/>
    <w:rsid w:val="00483250"/>
    <w:rsid w:val="00545087"/>
    <w:rsid w:val="005609D5"/>
    <w:rsid w:val="00596399"/>
    <w:rsid w:val="005B01A1"/>
    <w:rsid w:val="005F34E8"/>
    <w:rsid w:val="006150C7"/>
    <w:rsid w:val="00641374"/>
    <w:rsid w:val="00641ECF"/>
    <w:rsid w:val="00671425"/>
    <w:rsid w:val="00673D80"/>
    <w:rsid w:val="0068739B"/>
    <w:rsid w:val="00743319"/>
    <w:rsid w:val="00765C1F"/>
    <w:rsid w:val="007906EA"/>
    <w:rsid w:val="007B6C13"/>
    <w:rsid w:val="007C3CC9"/>
    <w:rsid w:val="007E37BB"/>
    <w:rsid w:val="007F1A8D"/>
    <w:rsid w:val="00894771"/>
    <w:rsid w:val="009339B0"/>
    <w:rsid w:val="009847EE"/>
    <w:rsid w:val="009A33C1"/>
    <w:rsid w:val="009D71D3"/>
    <w:rsid w:val="00A07B1A"/>
    <w:rsid w:val="00A15101"/>
    <w:rsid w:val="00A358EE"/>
    <w:rsid w:val="00A40301"/>
    <w:rsid w:val="00A57E3D"/>
    <w:rsid w:val="00AA3382"/>
    <w:rsid w:val="00AA6369"/>
    <w:rsid w:val="00AC6EE8"/>
    <w:rsid w:val="00AD03EB"/>
    <w:rsid w:val="00B02FFF"/>
    <w:rsid w:val="00B17D80"/>
    <w:rsid w:val="00B77AAE"/>
    <w:rsid w:val="00B81A56"/>
    <w:rsid w:val="00BA2922"/>
    <w:rsid w:val="00C10078"/>
    <w:rsid w:val="00C103B7"/>
    <w:rsid w:val="00C31D27"/>
    <w:rsid w:val="00C33F10"/>
    <w:rsid w:val="00C41B55"/>
    <w:rsid w:val="00C45183"/>
    <w:rsid w:val="00C867F1"/>
    <w:rsid w:val="00CA075F"/>
    <w:rsid w:val="00CA4F5B"/>
    <w:rsid w:val="00CB37F8"/>
    <w:rsid w:val="00D04207"/>
    <w:rsid w:val="00D23737"/>
    <w:rsid w:val="00D272D6"/>
    <w:rsid w:val="00D34F9C"/>
    <w:rsid w:val="00D72F72"/>
    <w:rsid w:val="00D76612"/>
    <w:rsid w:val="00D91527"/>
    <w:rsid w:val="00DB162C"/>
    <w:rsid w:val="00DB2B5A"/>
    <w:rsid w:val="00DB7239"/>
    <w:rsid w:val="00DF6791"/>
    <w:rsid w:val="00E2050E"/>
    <w:rsid w:val="00E3274A"/>
    <w:rsid w:val="00E70A88"/>
    <w:rsid w:val="00E74EF0"/>
    <w:rsid w:val="00EC37DF"/>
    <w:rsid w:val="00ED1D06"/>
    <w:rsid w:val="00EE2FE6"/>
    <w:rsid w:val="00EF3E38"/>
    <w:rsid w:val="00F138A6"/>
    <w:rsid w:val="00F3646F"/>
    <w:rsid w:val="00F4195F"/>
    <w:rsid w:val="00F61D0F"/>
    <w:rsid w:val="00F943BC"/>
    <w:rsid w:val="00FB4257"/>
    <w:rsid w:val="00FC3056"/>
    <w:rsid w:val="00FD27C0"/>
    <w:rsid w:val="00FE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29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32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32A6C"/>
    <w:rPr>
      <w:b/>
      <w:bCs/>
    </w:rPr>
  </w:style>
  <w:style w:type="paragraph" w:customStyle="1" w:styleId="Default">
    <w:name w:val="Default"/>
    <w:rsid w:val="00132A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132A6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04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4207"/>
  </w:style>
  <w:style w:type="paragraph" w:styleId="Rodap">
    <w:name w:val="footer"/>
    <w:basedOn w:val="Normal"/>
    <w:link w:val="RodapChar"/>
    <w:uiPriority w:val="99"/>
    <w:unhideWhenUsed/>
    <w:rsid w:val="00D04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4207"/>
  </w:style>
  <w:style w:type="paragraph" w:styleId="PargrafodaLista">
    <w:name w:val="List Paragraph"/>
    <w:basedOn w:val="Normal"/>
    <w:uiPriority w:val="34"/>
    <w:qFormat/>
    <w:rsid w:val="007E37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29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32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32A6C"/>
    <w:rPr>
      <w:b/>
      <w:bCs/>
    </w:rPr>
  </w:style>
  <w:style w:type="paragraph" w:customStyle="1" w:styleId="Default">
    <w:name w:val="Default"/>
    <w:rsid w:val="00132A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132A6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04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4207"/>
  </w:style>
  <w:style w:type="paragraph" w:styleId="Rodap">
    <w:name w:val="footer"/>
    <w:basedOn w:val="Normal"/>
    <w:link w:val="RodapChar"/>
    <w:uiPriority w:val="99"/>
    <w:unhideWhenUsed/>
    <w:rsid w:val="00D04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4207"/>
  </w:style>
  <w:style w:type="paragraph" w:styleId="PargrafodaLista">
    <w:name w:val="List Paragraph"/>
    <w:basedOn w:val="Normal"/>
    <w:uiPriority w:val="34"/>
    <w:qFormat/>
    <w:rsid w:val="007E37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fomoney.com.br/minhas-financas/financiamento-imobiliario-as-taxas-de-juros-praticadas-pelos-bancos-no-brasil/amp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65481-9B9D-4BA1-860E-38A3DFB1D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1761</Words>
  <Characters>9512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</dc:creator>
  <cp:lastModifiedBy>Ieda</cp:lastModifiedBy>
  <cp:revision>6</cp:revision>
  <cp:lastPrinted>2019-10-03T23:28:00Z</cp:lastPrinted>
  <dcterms:created xsi:type="dcterms:W3CDTF">2019-10-07T11:53:00Z</dcterms:created>
  <dcterms:modified xsi:type="dcterms:W3CDTF">2019-10-15T20:09:00Z</dcterms:modified>
</cp:coreProperties>
</file>